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E2BC5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E2BC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д.Борисовка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10-3</w:t>
      </w:r>
      <w:r w:rsidR="00421036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EE2BC5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EE2BC5">
        <w:rPr>
          <w:rFonts w:ascii="Times New Roman" w:hAnsi="Times New Roman" w:cs="Times New Roman"/>
          <w:sz w:val="24"/>
          <w:szCs w:val="24"/>
        </w:rPr>
        <w:t xml:space="preserve"> сельсовет, д.Борисовка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3E68BA">
        <w:rPr>
          <w:rFonts w:ascii="Times New Roman" w:hAnsi="Times New Roman" w:cs="Times New Roman"/>
          <w:sz w:val="24"/>
          <w:szCs w:val="24"/>
        </w:rPr>
        <w:t xml:space="preserve">1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E68BA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D5EE1"/>
    <w:rsid w:val="000E1C7A"/>
    <w:rsid w:val="00104BB1"/>
    <w:rsid w:val="00110B25"/>
    <w:rsid w:val="00126494"/>
    <w:rsid w:val="001B5C12"/>
    <w:rsid w:val="00227EFD"/>
    <w:rsid w:val="00250B42"/>
    <w:rsid w:val="00263E1F"/>
    <w:rsid w:val="002E3952"/>
    <w:rsid w:val="0034201F"/>
    <w:rsid w:val="00375A20"/>
    <w:rsid w:val="003774F2"/>
    <w:rsid w:val="0038664F"/>
    <w:rsid w:val="0039771C"/>
    <w:rsid w:val="003A3344"/>
    <w:rsid w:val="003E0E9F"/>
    <w:rsid w:val="003E68BA"/>
    <w:rsid w:val="003F091B"/>
    <w:rsid w:val="00421036"/>
    <w:rsid w:val="00423543"/>
    <w:rsid w:val="00454D1D"/>
    <w:rsid w:val="00473D8C"/>
    <w:rsid w:val="004C7F22"/>
    <w:rsid w:val="004E0884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57826"/>
    <w:rsid w:val="00994302"/>
    <w:rsid w:val="009C462C"/>
    <w:rsid w:val="009E5D50"/>
    <w:rsid w:val="00A034F2"/>
    <w:rsid w:val="00A21C55"/>
    <w:rsid w:val="00A40A8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EE2BC5"/>
    <w:rsid w:val="00F1303F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6B1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E633-9055-4EAA-B88A-C30F8F45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2022-01-20T08:43:00Z</dcterms:created>
  <dcterms:modified xsi:type="dcterms:W3CDTF">2022-01-26T11:48:00Z</dcterms:modified>
</cp:coreProperties>
</file>