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 прогнозу социально-экономического развития</w:t>
      </w:r>
    </w:p>
    <w:p>
      <w:pPr>
        <w:pStyle w:val="Style16"/>
        <w:spacing w:before="0" w:after="0"/>
        <w:jc w:val="center"/>
        <w:rPr/>
      </w:pPr>
      <w:r>
        <w:rPr>
          <w:b/>
          <w:bCs/>
          <w:sz w:val="28"/>
          <w:szCs w:val="28"/>
        </w:rPr>
        <w:t>Щигровского района на 2020-2022 годы.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Потребительский рынок товаров и услуг.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Оборот розничной торговли</w:t>
      </w:r>
    </w:p>
    <w:p>
      <w:pPr>
        <w:pStyle w:val="Normal"/>
        <w:tabs>
          <w:tab w:val="left" w:pos="390" w:leader="none"/>
          <w:tab w:val="left" w:pos="450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С 2019 года торговую сеть в районе представляют павильоны, киоски и магазины индивидуальных предпринимателей.</w:t>
      </w:r>
    </w:p>
    <w:p>
      <w:pPr>
        <w:pStyle w:val="Normal"/>
        <w:tabs>
          <w:tab w:val="left" w:pos="60" w:leader="none"/>
          <w:tab w:val="left" w:pos="225" w:leader="none"/>
        </w:tabs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Торговое обслуживание жителей Щигровского района осуществляют также    ПО «Щигровское»,  зарегистрированное в городе Щигры,  торговый оборот  которого отражается в данных города Щигры,  и ЗАО ''Курскхлеб'',      зарегистрированный также в другом муниципальном образовании - в городе  Курск.</w:t>
      </w:r>
    </w:p>
    <w:p>
      <w:pPr>
        <w:pStyle w:val="Normal"/>
        <w:tabs>
          <w:tab w:val="left" w:pos="390" w:leader="none"/>
        </w:tabs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>Статистическая отчетность по данному виду деятельности в районе не осуществляется.</w:t>
      </w:r>
    </w:p>
    <w:p>
      <w:pPr>
        <w:pStyle w:val="Normal"/>
        <w:tabs>
          <w:tab w:val="left" w:pos="390" w:leader="none"/>
        </w:tabs>
        <w:spacing w:lineRule="auto" w:line="240" w:before="0" w:after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Общественное питание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Общественное питание района представлено столовыми сельхозпредприятий и общеобразовательных школ. 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В 2019 году оборот общественного питания составил 5447,</w:t>
      </w:r>
      <w:r>
        <w:rPr>
          <w:rFonts w:cs="Times New Roman" w:ascii="Times New Roman" w:hAnsi="Times New Roman"/>
          <w:sz w:val="28"/>
          <w:szCs w:val="28"/>
        </w:rPr>
        <w:t xml:space="preserve">4 </w:t>
      </w:r>
      <w:r>
        <w:rPr>
          <w:rFonts w:cs="Times New Roman" w:ascii="Times New Roman" w:hAnsi="Times New Roman"/>
          <w:sz w:val="28"/>
          <w:szCs w:val="28"/>
        </w:rPr>
        <w:t>тыс. рублей.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К уровню 2018 года показатель повысился на 10,2 %.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2020 году оборот общественного питания планируется в размере </w:t>
      </w:r>
      <w:r>
        <w:rPr>
          <w:rFonts w:cs="Times New Roman" w:ascii="Times New Roman" w:hAnsi="Times New Roman"/>
          <w:sz w:val="28"/>
          <w:szCs w:val="28"/>
        </w:rPr>
        <w:t>5666,9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тыс. рублей.</w:t>
        <w:tab/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В  2021-2022 г.г. предусматривается стабильный  оборот общественного питания.  Индекс физического объема из года в год будет составлять 101,5%.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Объем платных услуг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450" w:leader="none"/>
        </w:tabs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bookmarkStart w:id="0" w:name="__DdeLink__236_925122542"/>
      <w:r>
        <w:rPr>
          <w:rFonts w:cs="Times New Roman" w:ascii="Times New Roman" w:hAnsi="Times New Roman"/>
          <w:sz w:val="28"/>
          <w:szCs w:val="28"/>
        </w:rPr>
        <w:t>Объем платных услуг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 в 2019 году составил 4270 тыс. рублей.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Индекс физического объема –96,9 %.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Платные услуги населению оказывают автономные некоммерческие организации по снабжению населения района водой.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 xml:space="preserve">В 2019 году  предоставление платных услуг населению  осуществлялось  АНО «Жилищно-коммунальное хозяйство Щигровского района»,  и «Курскоблводоканал». </w:t>
      </w:r>
    </w:p>
    <w:p>
      <w:pPr>
        <w:pStyle w:val="Normal"/>
        <w:tabs>
          <w:tab w:val="left" w:pos="510" w:leader="none"/>
        </w:tabs>
        <w:spacing w:lineRule="auto" w:line="240" w:before="0" w:after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ab/>
        <w:t>В 2020-2023 г.г. физический объем предоставляемых  платных услуг планируется постепенно увеличивать. Индекс физического роста будет составлять 102 %.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40" w:before="0" w:after="0"/>
        <w:ind w:left="0" w:right="0" w:firstLine="51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Создания дополнительных рабочих мест в сфере  потребительского рынка в районе не предусматривается.</w:t>
      </w:r>
    </w:p>
    <w:p>
      <w:pPr>
        <w:pStyle w:val="Normal"/>
        <w:widowControl/>
        <w:bidi w:val="0"/>
        <w:spacing w:lineRule="auto" w:line="240" w:before="0" w:after="0"/>
        <w:ind w:left="0" w:right="0" w:firstLine="510"/>
        <w:jc w:val="left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Целью развития сферы потребительского рынка в прогнозируемом периоде (</w:t>
      </w:r>
      <w:r>
        <w:rPr>
          <w:rFonts w:cs="Times New Roman" w:ascii="Times New Roman" w:hAnsi="Times New Roman"/>
          <w:b/>
          <w:sz w:val="28"/>
          <w:szCs w:val="28"/>
        </w:rPr>
        <w:t>целевой вариант</w:t>
      </w:r>
      <w:r>
        <w:rPr>
          <w:rFonts w:cs="Times New Roman" w:ascii="Times New Roman" w:hAnsi="Times New Roman"/>
          <w:sz w:val="28"/>
          <w:szCs w:val="28"/>
        </w:rPr>
        <w:t xml:space="preserve">) являются рост общественного питания и платных услуг населению. Индекс роста физического объема показателей в прогнозируемом периоде будет составлять 101,5-102,5 %. 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rPr/>
      </w:pPr>
      <w:r>
        <w:rPr>
          <w:rFonts w:cs="Times New Roman" w:ascii="Times New Roman" w:hAnsi="Times New Roman"/>
          <w:sz w:val="28"/>
          <w:szCs w:val="28"/>
        </w:rPr>
        <w:t>В случае ухудшения экономического положения в районе (</w:t>
      </w:r>
      <w:r>
        <w:rPr>
          <w:rFonts w:cs="Times New Roman" w:ascii="Times New Roman" w:hAnsi="Times New Roman"/>
          <w:b/>
          <w:sz w:val="28"/>
          <w:szCs w:val="28"/>
        </w:rPr>
        <w:t>консервативный вариант)</w:t>
      </w:r>
      <w:r>
        <w:rPr>
          <w:rFonts w:cs="Times New Roman" w:ascii="Times New Roman" w:hAnsi="Times New Roman"/>
          <w:sz w:val="28"/>
          <w:szCs w:val="28"/>
        </w:rPr>
        <w:t xml:space="preserve"> будет иметь место незначительное снижение физического объема показателей по сравнению с базовым и целевым вариантами. Уровень индекса физического объема к достигнутому в предыдущем периоде будет  оставаться на уровне 100,1-100,3  %. </w:t>
      </w:r>
    </w:p>
    <w:p>
      <w:pPr>
        <w:pStyle w:val="Normal"/>
        <w:spacing w:lineRule="auto" w:line="240" w:before="0"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type w:val="nextPage"/>
      <w:pgSz w:w="11906" w:h="16838"/>
      <w:pgMar w:left="1245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semiHidden/>
    <w:qFormat/>
    <w:rsid w:val="00102ab2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link w:val="a4"/>
    <w:semiHidden/>
    <w:unhideWhenUsed/>
    <w:rsid w:val="00102ab2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LibreOffice/5.3.2.2$Windows_x86 LibreOffice_project/6cd4f1ef626f15116896b1d8e1398b56da0d0ee1</Application>
  <Pages>2</Pages>
  <Words>281</Words>
  <Characters>2002</Characters>
  <CharactersWithSpaces>2382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2018-06-18T09:48:00Z</dcterms:created>
  <dc:creator>ченцова</dc:creator>
  <dc:description/>
  <dc:language>ru-RU</dc:language>
  <cp:lastModifiedBy/>
  <cp:lastPrinted>2020-06-25T14:23:42Z</cp:lastPrinted>
  <dcterms:modified xsi:type="dcterms:W3CDTF">2020-06-25T14:23:45Z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