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b/>
          <w:bCs/>
          <w:sz w:val="28"/>
          <w:szCs w:val="28"/>
        </w:rPr>
        <w:t>Пояснительная записка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к прогнозу социально-экономического развития</w:t>
      </w:r>
    </w:p>
    <w:p>
      <w:pPr>
        <w:pStyle w:val="Style16"/>
        <w:spacing w:before="0" w:after="0"/>
        <w:jc w:val="center"/>
        <w:rPr/>
      </w:pPr>
      <w:r>
        <w:rPr>
          <w:b/>
          <w:bCs/>
          <w:sz w:val="28"/>
          <w:szCs w:val="28"/>
        </w:rPr>
        <w:t>Щигровского района на 2022-2024 годы.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bCs/>
          <w:sz w:val="28"/>
          <w:szCs w:val="28"/>
        </w:rPr>
        <w:t>Потребительский рынок товаров и услуг.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Оборот розничной торговли</w:t>
      </w:r>
    </w:p>
    <w:p>
      <w:pPr>
        <w:pStyle w:val="Normal"/>
        <w:tabs>
          <w:tab w:val="clear" w:pos="708"/>
          <w:tab w:val="left" w:pos="390" w:leader="none"/>
          <w:tab w:val="left" w:pos="450" w:leader="none"/>
        </w:tabs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      </w:t>
      </w:r>
      <w:r>
        <w:rPr>
          <w:rFonts w:cs="Times New Roman" w:ascii="Times New Roman" w:hAnsi="Times New Roman"/>
          <w:sz w:val="28"/>
          <w:szCs w:val="28"/>
        </w:rPr>
        <w:t>В 20</w:t>
      </w:r>
      <w:r>
        <w:rPr>
          <w:rFonts w:eastAsia="" w:cs="Times New Roman" w:ascii="Times New Roman" w:hAnsi="Times New Roman" w:eastAsiaTheme="minorEastAsia"/>
          <w:color w:val="00000A"/>
          <w:sz w:val="28"/>
          <w:szCs w:val="28"/>
          <w:lang w:val="ru-RU" w:eastAsia="ru-RU" w:bidi="ar-SA"/>
        </w:rPr>
        <w:t>20</w:t>
      </w:r>
      <w:r>
        <w:rPr>
          <w:rFonts w:cs="Times New Roman" w:ascii="Times New Roman" w:hAnsi="Times New Roman"/>
          <w:sz w:val="28"/>
          <w:szCs w:val="28"/>
        </w:rPr>
        <w:t xml:space="preserve"> году торговую сеть в районе представляют павильоны, киоски и магазины индивидуальных предпринимателей.</w:t>
      </w:r>
    </w:p>
    <w:p>
      <w:pPr>
        <w:pStyle w:val="Normal"/>
        <w:tabs>
          <w:tab w:val="clear" w:pos="708"/>
          <w:tab w:val="left" w:pos="60" w:leader="none"/>
          <w:tab w:val="left" w:pos="225" w:leader="none"/>
        </w:tabs>
        <w:spacing w:lineRule="auto" w:line="240" w:before="0" w:after="0"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Торговое обслуживание жителей Щигровского района осуществляют также     ПО «Щигровское»,  зарегистрированное в городе Щигры,  торговый оборот  которого отражается в данных города Щигры,  и ЗАО ''Курскхлеб'',      зарегистрированный также в другом муниципальном образовании - в городе  Курск.</w:t>
      </w:r>
    </w:p>
    <w:p>
      <w:pPr>
        <w:pStyle w:val="Normal"/>
        <w:tabs>
          <w:tab w:val="clear" w:pos="708"/>
          <w:tab w:val="left" w:pos="390" w:leader="none"/>
        </w:tabs>
        <w:spacing w:lineRule="auto" w:line="240" w:before="0" w:after="0"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</w:t>
      </w:r>
      <w:r>
        <w:rPr>
          <w:rFonts w:cs="Times New Roman" w:ascii="Times New Roman" w:hAnsi="Times New Roman"/>
          <w:sz w:val="28"/>
          <w:szCs w:val="28"/>
        </w:rPr>
        <w:t>Статистическая отчетность по данному виду деятельности в районе не осуществляется.</w:t>
      </w:r>
    </w:p>
    <w:p>
      <w:pPr>
        <w:pStyle w:val="Normal"/>
        <w:tabs>
          <w:tab w:val="clear" w:pos="708"/>
          <w:tab w:val="left" w:pos="390" w:leader="none"/>
        </w:tabs>
        <w:spacing w:lineRule="auto" w:line="240" w:before="0" w:after="0"/>
        <w:jc w:val="lef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Общественное питание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Общественное питание района представлено столовыми сельхозпредприятий и общеобразовательных школ. </w:t>
      </w:r>
    </w:p>
    <w:p>
      <w:pPr>
        <w:pStyle w:val="Normal"/>
        <w:spacing w:lineRule="auto" w:line="240" w:before="0" w:after="0"/>
        <w:jc w:val="left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В 2020 году оборот общественного питания составил </w:t>
      </w:r>
      <w:r>
        <w:rPr>
          <w:rFonts w:eastAsia="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>6041,8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тыс. рублей.</w:t>
      </w:r>
    </w:p>
    <w:p>
      <w:pPr>
        <w:pStyle w:val="Normal"/>
        <w:spacing w:lineRule="auto" w:line="240" w:before="0" w:after="0"/>
        <w:jc w:val="left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К уровню 20</w:t>
      </w:r>
      <w:r>
        <w:rPr>
          <w:rFonts w:eastAsia="" w:cs="Times New Roman" w:ascii="Times New Roman" w:hAnsi="Times New Roman" w:eastAsiaTheme="minorEastAsia"/>
          <w:color w:val="000000"/>
          <w:sz w:val="28"/>
          <w:szCs w:val="28"/>
          <w:lang w:val="ru-RU" w:eastAsia="ru-RU" w:bidi="ar-SA"/>
        </w:rPr>
        <w:t>19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года показатель повысился на </w:t>
      </w:r>
      <w:r>
        <w:rPr>
          <w:rFonts w:eastAsia="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>106,8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%.</w:t>
      </w:r>
    </w:p>
    <w:p>
      <w:pPr>
        <w:pStyle w:val="Normal"/>
        <w:spacing w:lineRule="auto" w:line="240" w:before="0" w:after="0"/>
        <w:jc w:val="left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В 2021 году оборот общественного питания планируется в размере </w:t>
      </w:r>
      <w:r>
        <w:rPr>
          <w:rFonts w:eastAsia="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>6419,5</w:t>
      </w:r>
    </w:p>
    <w:p>
      <w:pPr>
        <w:pStyle w:val="Normal"/>
        <w:spacing w:lineRule="auto" w:line="240" w:before="0" w:after="0"/>
        <w:jc w:val="left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тыс. рублей.</w:t>
        <w:tab/>
      </w:r>
    </w:p>
    <w:p>
      <w:pPr>
        <w:pStyle w:val="Normal"/>
        <w:spacing w:lineRule="auto" w:line="240" w:before="0" w:after="0"/>
        <w:jc w:val="left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  2022-2023 г.г. предусматривается стабильный  оборот общественного питания.  Индекс физического объема из года в год будет составлять 101,5%.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pacing w:lineRule="auto" w:line="240" w:before="0" w:after="0"/>
        <w:jc w:val="left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                                                 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Объем платных услуг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left" w:pos="450" w:leader="none"/>
        </w:tabs>
        <w:spacing w:lineRule="auto" w:line="240" w:before="0" w:after="0"/>
        <w:jc w:val="left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     </w:t>
      </w:r>
      <w:bookmarkStart w:id="0" w:name="__DdeLink__236_925122542"/>
      <w:r>
        <w:rPr>
          <w:rFonts w:cs="Times New Roman" w:ascii="Times New Roman" w:hAnsi="Times New Roman"/>
          <w:color w:val="000000"/>
          <w:sz w:val="28"/>
          <w:szCs w:val="28"/>
        </w:rPr>
        <w:t>Объем платных услуг</w:t>
      </w:r>
      <w:bookmarkEnd w:id="0"/>
      <w:r>
        <w:rPr>
          <w:rFonts w:cs="Times New Roman" w:ascii="Times New Roman" w:hAnsi="Times New Roman"/>
          <w:color w:val="000000"/>
          <w:sz w:val="28"/>
          <w:szCs w:val="28"/>
        </w:rPr>
        <w:t xml:space="preserve"> в 2020 году составил </w:t>
      </w:r>
      <w:r>
        <w:rPr>
          <w:rFonts w:eastAsia="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>142870,5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тыс. рублей.</w:t>
      </w:r>
    </w:p>
    <w:p>
      <w:pPr>
        <w:pStyle w:val="Normal"/>
        <w:spacing w:lineRule="auto" w:line="240" w:before="0" w:after="0"/>
        <w:jc w:val="left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Индекс физического объема – </w:t>
      </w:r>
      <w:r>
        <w:rPr>
          <w:rFonts w:eastAsia="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>73,4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%. </w:t>
      </w:r>
    </w:p>
    <w:p>
      <w:pPr>
        <w:pStyle w:val="Normal"/>
        <w:spacing w:lineRule="auto" w:line="240" w:before="0" w:after="0"/>
        <w:jc w:val="left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Платные услуги населению оказывают автономные некоммерческие организации по снабжению населения района водой.</w:t>
      </w:r>
    </w:p>
    <w:p>
      <w:pPr>
        <w:pStyle w:val="Normal"/>
        <w:spacing w:lineRule="auto" w:line="240" w:before="0" w:after="0"/>
        <w:jc w:val="left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color w:val="000000"/>
          <w:sz w:val="28"/>
          <w:szCs w:val="28"/>
        </w:rPr>
        <w:t>В 20</w:t>
      </w:r>
      <w:r>
        <w:rPr>
          <w:rFonts w:eastAsia="" w:cs="Times New Roman" w:ascii="Times New Roman" w:hAnsi="Times New Roman" w:eastAsiaTheme="minorEastAsia"/>
          <w:color w:val="000000"/>
          <w:sz w:val="28"/>
          <w:szCs w:val="28"/>
          <w:lang w:val="ru-RU" w:eastAsia="ru-RU" w:bidi="ar-SA"/>
        </w:rPr>
        <w:t xml:space="preserve">20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году  предоставление платных услуг населению  осуществлял     ОАО «Курскоблводоканал» </w:t>
      </w:r>
      <w:r>
        <w:rPr>
          <w:rFonts w:cs="Times New Roman" w:ascii="Times New Roman" w:hAnsi="Times New Roman"/>
          <w:color w:val="000000"/>
          <w:sz w:val="28"/>
          <w:szCs w:val="28"/>
          <w:lang w:val="en-US"/>
        </w:rPr>
        <w:t>(</w:t>
      </w: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зарегистрирован в городе Курске</w:t>
      </w:r>
      <w:r>
        <w:rPr>
          <w:rFonts w:cs="Times New Roman" w:ascii="Times New Roman" w:hAnsi="Times New Roman"/>
          <w:color w:val="000000"/>
          <w:sz w:val="28"/>
          <w:szCs w:val="28"/>
          <w:lang w:val="en-US"/>
        </w:rPr>
        <w:t>)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. </w:t>
      </w:r>
    </w:p>
    <w:p>
      <w:pPr>
        <w:pStyle w:val="Normal"/>
        <w:tabs>
          <w:tab w:val="clear" w:pos="708"/>
          <w:tab w:val="left" w:pos="510" w:leader="none"/>
        </w:tabs>
        <w:spacing w:lineRule="auto" w:line="240" w:before="0" w:after="0"/>
        <w:jc w:val="left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ab/>
        <w:t>В 2021-2024 г.г. физический объем предоставляемых  платных услуг планируется постепенно увеличивать. Индекс физического роста будет составлять 102 %.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widowControl/>
        <w:bidi w:val="0"/>
        <w:spacing w:lineRule="auto" w:line="240" w:before="0" w:after="0"/>
        <w:ind w:left="0" w:right="0" w:firstLine="510"/>
        <w:jc w:val="left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Создания дополнительных рабочих мест в сфере  потребительского рынка в районе не предусматривается.</w:t>
      </w:r>
    </w:p>
    <w:p>
      <w:pPr>
        <w:pStyle w:val="Normal"/>
        <w:widowControl/>
        <w:bidi w:val="0"/>
        <w:spacing w:lineRule="auto" w:line="240" w:before="0" w:after="0"/>
        <w:ind w:left="0" w:right="0" w:firstLine="510"/>
        <w:jc w:val="left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pacing w:lineRule="auto" w:line="240" w:before="0"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rPr>
          <w:color w:val="C9211E"/>
        </w:rPr>
      </w:pPr>
      <w:r>
        <w:rPr>
          <w:color w:val="C9211E"/>
        </w:rPr>
      </w:r>
    </w:p>
    <w:p>
      <w:pPr>
        <w:pStyle w:val="Normal"/>
        <w:spacing w:lineRule="auto" w:line="240" w:before="0" w:after="0"/>
        <w:ind w:firstLine="708"/>
        <w:rPr>
          <w:rFonts w:ascii="Times New Roman" w:hAnsi="Times New Roman" w:cs="Times New Roman"/>
          <w:color w:val="C9211E"/>
          <w:sz w:val="28"/>
          <w:szCs w:val="28"/>
        </w:rPr>
      </w:pPr>
      <w:r>
        <w:rPr>
          <w:rFonts w:cs="Times New Roman" w:ascii="Times New Roman" w:hAnsi="Times New Roman"/>
          <w:color w:val="C9211E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>В случае ухудшения экономического положения в районе (</w:t>
      </w:r>
      <w:r>
        <w:rPr>
          <w:rFonts w:cs="Times New Roman" w:ascii="Times New Roman" w:hAnsi="Times New Roman"/>
          <w:b/>
          <w:sz w:val="28"/>
          <w:szCs w:val="28"/>
        </w:rPr>
        <w:t>консервативный вариант)</w:t>
      </w:r>
      <w:r>
        <w:rPr>
          <w:rFonts w:cs="Times New Roman" w:ascii="Times New Roman" w:hAnsi="Times New Roman"/>
          <w:sz w:val="28"/>
          <w:szCs w:val="28"/>
        </w:rPr>
        <w:t xml:space="preserve"> будет иметь место незначительное снижение физического объема показателей по сравнению с базовым и целевым вариантами. Уровень индекса физического объема к достигнутому в предыдущем периоде будет  оставаться на уровне 10</w:t>
      </w:r>
      <w:r>
        <w:rPr>
          <w:rFonts w:cs="Times New Roman" w:ascii="Times New Roman" w:hAnsi="Times New Roman"/>
          <w:sz w:val="28"/>
          <w:szCs w:val="28"/>
        </w:rPr>
        <w:t>0</w:t>
      </w:r>
      <w:r>
        <w:rPr>
          <w:rFonts w:cs="Times New Roman" w:ascii="Times New Roman" w:hAnsi="Times New Roman"/>
          <w:sz w:val="28"/>
          <w:szCs w:val="28"/>
        </w:rPr>
        <w:t>,</w:t>
      </w:r>
      <w:r>
        <w:rPr>
          <w:rFonts w:cs="Times New Roman" w:ascii="Times New Roman" w:hAnsi="Times New Roman"/>
          <w:sz w:val="28"/>
          <w:szCs w:val="28"/>
        </w:rPr>
        <w:t>1</w:t>
      </w:r>
      <w:r>
        <w:rPr>
          <w:rFonts w:cs="Times New Roman" w:ascii="Times New Roman" w:hAnsi="Times New Roman"/>
          <w:sz w:val="28"/>
          <w:szCs w:val="28"/>
        </w:rPr>
        <w:t>-10</w:t>
      </w:r>
      <w:r>
        <w:rPr>
          <w:rFonts w:cs="Times New Roman" w:ascii="Times New Roman" w:hAnsi="Times New Roman"/>
          <w:sz w:val="28"/>
          <w:szCs w:val="28"/>
        </w:rPr>
        <w:t>0</w:t>
      </w:r>
      <w:r>
        <w:rPr>
          <w:rFonts w:cs="Times New Roman" w:ascii="Times New Roman" w:hAnsi="Times New Roman"/>
          <w:sz w:val="28"/>
          <w:szCs w:val="28"/>
        </w:rPr>
        <w:t>,</w:t>
      </w:r>
      <w:r>
        <w:rPr>
          <w:rFonts w:cs="Times New Roman" w:ascii="Times New Roman" w:hAnsi="Times New Roman"/>
          <w:sz w:val="28"/>
          <w:szCs w:val="28"/>
        </w:rPr>
        <w:t>3</w:t>
      </w:r>
      <w:r>
        <w:rPr>
          <w:rFonts w:cs="Times New Roman" w:ascii="Times New Roman" w:hAnsi="Times New Roman"/>
          <w:sz w:val="28"/>
          <w:szCs w:val="28"/>
        </w:rPr>
        <w:t xml:space="preserve"> %. </w:t>
      </w:r>
    </w:p>
    <w:p>
      <w:pPr>
        <w:pStyle w:val="Normal"/>
        <w:spacing w:lineRule="auto" w:line="240" w:before="0"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left"/>
        <w:rPr>
          <w:rFonts w:ascii="Times New Roman" w:hAnsi="Times New Roman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Н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ачальник управления </w:t>
      </w:r>
    </w:p>
    <w:p>
      <w:pPr>
        <w:pStyle w:val="Normal"/>
        <w:widowControl/>
        <w:tabs>
          <w:tab w:val="clear" w:pos="708"/>
          <w:tab w:val="left" w:pos="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b w:val="false"/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аграрной политики, земельных и имущественных</w:t>
      </w:r>
    </w:p>
    <w:p>
      <w:pPr>
        <w:pStyle w:val="Normal"/>
        <w:widowControl/>
        <w:tabs>
          <w:tab w:val="clear" w:pos="708"/>
          <w:tab w:val="left" w:pos="0" w:leader="none"/>
        </w:tabs>
        <w:suppressAutoHyphens w:val="fals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b w:val="false"/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правоотношений администрации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Щигровского района                                                                            М.В. Петров</w:t>
        <w:tab/>
      </w:r>
      <w:r>
        <w:rPr>
          <w:rFonts w:eastAsia="Times New Roman" w:cs="Times New Roman" w:ascii="Times New Roman" w:hAnsi="Times New Roman"/>
          <w:b w:val="false"/>
          <w:bCs w:val="false"/>
          <w:color w:val="00000A"/>
          <w:sz w:val="28"/>
          <w:szCs w:val="28"/>
          <w:lang w:val="ru-RU" w:bidi="ar-SA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                    </w:t>
      </w:r>
      <w:r>
        <w:rPr>
          <w:rFonts w:cs="Times New Roman" w:ascii="Times New Roman" w:hAnsi="Times New Roman"/>
          <w:b w:val="false"/>
          <w:bCs w:val="false"/>
          <w:color w:val="C9211E"/>
          <w:sz w:val="28"/>
          <w:szCs w:val="28"/>
        </w:rPr>
        <w:t xml:space="preserve">           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sectPr>
      <w:type w:val="nextPage"/>
      <w:pgSz w:w="11906" w:h="16838"/>
      <w:pgMar w:left="1245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3"/>
    <w:semiHidden/>
    <w:qFormat/>
    <w:rsid w:val="00102ab2"/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6">
    <w:name w:val="Body Text"/>
    <w:basedOn w:val="Normal"/>
    <w:link w:val="a4"/>
    <w:semiHidden/>
    <w:unhideWhenUsed/>
    <w:rsid w:val="00102ab2"/>
    <w:pPr>
      <w:suppressAutoHyphens w:val="true"/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Application>LibreOffice/7.1.0.3$Windows_x86 LibreOffice_project/f6099ecf3d29644b5008cc8f48f42f4a40986e4c</Application>
  <AppVersion>15.0000</AppVersion>
  <Pages>2</Pages>
  <Words>263</Words>
  <Characters>1876</Characters>
  <CharactersWithSpaces>2347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2018-06-18T09:48:00Z</dcterms:created>
  <dc:creator>ченцова</dc:creator>
  <dc:description/>
  <dc:language>ru-RU</dc:language>
  <cp:lastModifiedBy/>
  <cp:lastPrinted>2020-07-09T16:11:45Z</cp:lastPrinted>
  <dcterms:modified xsi:type="dcterms:W3CDTF">2021-06-23T11:35:50Z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